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6b7fdeb5d0b38b3cafc0c17d99ef2303d92512"/>
    <w:p>
      <w:pPr>
        <w:pStyle w:val="Heading3"/>
      </w:pPr>
      <w:r>
        <w:t xml:space="preserve">«Об антикоррупционной экспертизе проектов правовых актов органов и должностных лиц исполнительной власти города Москвы»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drawing>
          <wp:inline>
            <wp:extent cx="142875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/medialibrary/19a/gerb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исполнение постановлений Правительства Москвы №513-ПП от 02.06.2009 г. «Об антикоррупционной экспертизе проектов правовых актов органов и должностных лиц исполнительной власти города Москвы» и № 1115-ПП от 13 октября 2009 г. «О внесении изменений в постановление правительства Москвы от 2 июня 2009 г. №513-ПП и дальнейших мерах по его реализации» с 1 декабря 2009 г. в данном разделе будут публиковаться проекты нормативных правовых актов Мэра и Правительства Москвы, подготовленных Префектурой Зеленоградского АО г. Москвы, для проведения независимой антикоррупционной экспертизы.</w:t>
      </w:r>
    </w:p>
    <w:p>
      <w:pPr>
        <w:pStyle w:val="BodyText"/>
      </w:pPr>
      <w:r>
        <w:t xml:space="preserve">Нормативные правовые акты - это правовые акты, устанавливающие правовые нормы (правила поведения),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правовыми актами.</w:t>
      </w:r>
    </w:p>
    <w:p>
      <w:pPr>
        <w:pStyle w:val="BodyText"/>
      </w:pPr>
      <w:r>
        <w:t xml:space="preserve">Согласно постановлению Правительства Российской Федерации 195 от 05.03.2009 г. "Об утверждении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коррупции" антикоррупционной экспертизе подлежат проекты правовых актов, затрагивающие права, свободы и обязанности человека и гражданина, устанавливающие правовой статус организаций (то есть регулирующие правоотношения с участием граждан и (или) юридических лиц)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ПРОЕКТЫ НОРМАТИВНЫХ ПРАВОВЫХ АКТОВ МЭРА МОСКВЫ,</w:t>
      </w:r>
    </w:p>
    <w:p>
      <w:pPr>
        <w:pStyle w:val="BodyText"/>
      </w:pPr>
      <w:r>
        <w:t xml:space="preserve">ПРАВИТЕЛЬСТВА МОСКВЫ И ЗАКЛЮЧЕНИЯ К НИМ ПО РЕЗУЛЬТАТАМ</w:t>
      </w:r>
    </w:p>
    <w:p>
      <w:pPr>
        <w:pStyle w:val="BodyText"/>
      </w:pPr>
      <w:r>
        <w:t xml:space="preserve">НЕЗАВИСИМОЙ АНТИКОРРУПЦИОННОЙ ЭКСПЕРТИЗЫ</w:t>
      </w:r>
    </w:p>
    <w:p>
      <w:pPr>
        <w:pStyle w:val="BodyText"/>
      </w:pPr>
      <w:r>
        <w:t xml:space="preserve">(в ред.</w:t>
      </w:r>
      <w:r>
        <w:t xml:space="preserve"> </w:t>
      </w:r>
      <w:hyperlink r:id="rId23">
        <w:r>
          <w:rPr>
            <w:rStyle w:val="Hyperlink"/>
          </w:rPr>
          <w:t xml:space="preserve">постановления</w:t>
        </w:r>
      </w:hyperlink>
      <w:r>
        <w:t xml:space="preserve"> </w:t>
      </w:r>
      <w:r>
        <w:t xml:space="preserve">Правительства Москвы</w:t>
      </w:r>
    </w:p>
    <w:p>
      <w:pPr>
        <w:pStyle w:val="BodyText"/>
      </w:pPr>
      <w:r>
        <w:t xml:space="preserve">от 26.05.2010 N 428-ПП)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Вид, название и</w:t>
            </w:r>
          </w:p>
          <w:p>
            <w:pPr>
              <w:jc w:val="left"/>
            </w:pPr>
            <w:r>
              <w:t xml:space="preserve">текст проекта</w:t>
            </w:r>
          </w:p>
          <w:p>
            <w:pPr>
              <w:jc w:val="left"/>
            </w:pPr>
            <w:r>
              <w:t xml:space="preserve">нормативного</w:t>
            </w:r>
          </w:p>
          <w:p>
            <w:pPr>
              <w:jc w:val="left"/>
            </w:pPr>
            <w:r>
              <w:t xml:space="preserve">правового акта</w:t>
            </w:r>
          </w:p>
          <w:p>
            <w:pPr>
              <w:jc w:val="left"/>
            </w:pPr>
            <w:r>
              <w:t xml:space="preserve">(активная</w:t>
            </w:r>
          </w:p>
          <w:p>
            <w:pPr>
              <w:jc w:val="left"/>
            </w:pPr>
            <w:r>
              <w:t xml:space="preserve">ссылка на текст</w:t>
            </w:r>
          </w:p>
          <w:p>
            <w:pPr>
              <w:jc w:val="left"/>
            </w:pPr>
            <w:r>
              <w:t xml:space="preserve">проекта)</w:t>
            </w:r>
          </w:p>
        </w:tc>
        <w:tc>
          <w:tcPr/>
          <w:p>
            <w:pPr>
              <w:jc w:val="left"/>
            </w:pPr>
            <w:r>
              <w:t xml:space="preserve">Дата</w:t>
            </w:r>
          </w:p>
          <w:p>
            <w:pPr>
              <w:jc w:val="left"/>
            </w:pPr>
            <w:r>
              <w:t xml:space="preserve">размещения</w:t>
            </w:r>
          </w:p>
          <w:p>
            <w:pPr>
              <w:jc w:val="left"/>
            </w:pPr>
            <w:r>
              <w:t xml:space="preserve">проекта</w:t>
            </w:r>
          </w:p>
          <w:p>
            <w:pPr>
              <w:jc w:val="left"/>
            </w:pPr>
            <w:r>
              <w:t xml:space="preserve">нормативного</w:t>
            </w:r>
          </w:p>
          <w:p>
            <w:pPr>
              <w:jc w:val="left"/>
            </w:pPr>
            <w:r>
              <w:t xml:space="preserve">правового</w:t>
            </w:r>
          </w:p>
          <w:p>
            <w:pPr>
              <w:jc w:val="left"/>
            </w:pPr>
            <w:r>
              <w:t xml:space="preserve">акта на</w:t>
            </w:r>
          </w:p>
          <w:p>
            <w:pPr>
              <w:jc w:val="left"/>
            </w:pPr>
            <w:r>
              <w:t xml:space="preserve">сайте</w:t>
            </w:r>
          </w:p>
          <w:p>
            <w:pPr>
              <w:jc w:val="left"/>
            </w:pPr>
            <w:r>
              <w:t xml:space="preserve">(сервере)</w:t>
            </w:r>
          </w:p>
        </w:tc>
        <w:tc>
          <w:tcPr/>
          <w:p>
            <w:pPr>
              <w:jc w:val="left"/>
            </w:pPr>
            <w:r>
              <w:t xml:space="preserve">Дата окончания</w:t>
            </w:r>
          </w:p>
          <w:p>
            <w:pPr>
              <w:jc w:val="left"/>
            </w:pPr>
            <w:r>
              <w:t xml:space="preserve">срока проведения</w:t>
            </w:r>
          </w:p>
          <w:p>
            <w:pPr>
              <w:jc w:val="left"/>
            </w:pPr>
            <w:r>
              <w:t xml:space="preserve">независимой</w:t>
            </w:r>
          </w:p>
          <w:p>
            <w:pPr>
              <w:jc w:val="left"/>
            </w:pPr>
            <w:r>
              <w:t xml:space="preserve">антикоррупционной</w:t>
            </w:r>
          </w:p>
          <w:p>
            <w:pPr>
              <w:jc w:val="left"/>
            </w:pPr>
            <w:r>
              <w:t xml:space="preserve">экспертизы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&lt;*&gt;</w:t>
              </w:r>
            </w:hyperlink>
          </w:p>
        </w:tc>
        <w:tc>
          <w:tcPr/>
          <w:p>
            <w:pPr>
              <w:jc w:val="left"/>
            </w:pPr>
            <w:r>
              <w:t xml:space="preserve">Текст заключения</w:t>
            </w:r>
          </w:p>
          <w:p>
            <w:pPr>
              <w:jc w:val="left"/>
            </w:pPr>
            <w:r>
              <w:t xml:space="preserve">независимой</w:t>
            </w:r>
          </w:p>
          <w:p>
            <w:pPr>
              <w:jc w:val="left"/>
            </w:pPr>
            <w:r>
              <w:t xml:space="preserve">антикоррупционной</w:t>
            </w:r>
          </w:p>
          <w:p>
            <w:pPr>
              <w:jc w:val="left"/>
            </w:pPr>
            <w:r>
              <w:t xml:space="preserve">экспертизы</w:t>
            </w:r>
          </w:p>
          <w:p>
            <w:pPr>
              <w:jc w:val="left"/>
            </w:pPr>
            <w:r>
              <w:t xml:space="preserve">(активная ссылка</w:t>
            </w:r>
          </w:p>
          <w:p>
            <w:pPr>
              <w:jc w:val="left"/>
            </w:pPr>
            <w:r>
              <w:t xml:space="preserve">на текст) и дата</w:t>
            </w:r>
          </w:p>
          <w:p>
            <w:pPr>
              <w:jc w:val="left"/>
            </w:pPr>
            <w:r>
              <w:t xml:space="preserve">его поступления</w:t>
            </w:r>
          </w:p>
        </w:tc>
        <w:tc>
          <w:tcPr/>
          <w:p>
            <w:pPr>
              <w:jc w:val="left"/>
            </w:pPr>
            <w:r>
              <w:t xml:space="preserve">Почтовый адрес и</w:t>
            </w:r>
          </w:p>
          <w:p>
            <w:pPr>
              <w:jc w:val="left"/>
            </w:pPr>
            <w:r>
              <w:t xml:space="preserve">адрес электронной</w:t>
            </w:r>
          </w:p>
          <w:p>
            <w:pPr>
              <w:jc w:val="left"/>
            </w:pPr>
            <w:r>
              <w:t xml:space="preserve">почты для</w:t>
            </w:r>
          </w:p>
          <w:p>
            <w:pPr>
              <w:jc w:val="left"/>
            </w:pPr>
            <w:r>
              <w:t xml:space="preserve">направления</w:t>
            </w:r>
          </w:p>
          <w:p>
            <w:pPr>
              <w:jc w:val="left"/>
            </w:pPr>
            <w:r>
              <w:t xml:space="preserve">заключений</w:t>
            </w:r>
          </w:p>
          <w:p>
            <w:pPr>
              <w:jc w:val="left"/>
            </w:pPr>
            <w:r>
              <w:t xml:space="preserve">по результатам</w:t>
            </w:r>
          </w:p>
          <w:p>
            <w:pPr>
              <w:jc w:val="left"/>
            </w:pPr>
            <w:r>
              <w:t xml:space="preserve">проведения</w:t>
            </w:r>
          </w:p>
          <w:p>
            <w:pPr>
              <w:jc w:val="left"/>
            </w:pPr>
            <w:r>
              <w:t xml:space="preserve">независимой</w:t>
            </w:r>
          </w:p>
          <w:p>
            <w:pPr>
              <w:jc w:val="left"/>
            </w:pPr>
            <w:r>
              <w:t xml:space="preserve">антикоррупционной</w:t>
            </w:r>
          </w:p>
          <w:p>
            <w:pPr>
              <w:jc w:val="left"/>
            </w:pPr>
            <w:r>
              <w:t xml:space="preserve">экспертизы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http://zelao.mos.ru/anti-corruption1/anti-corruption-expertise/detail/1036172.html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consultantplus://offline/ref=0F895FE9EBE8FFEFB9282729CABE7319B115D8B15556566052872BBDE4EEF726B61908D0F34E6C1C48gDTAN" TargetMode="External" /><Relationship Type="http://schemas.openxmlformats.org/officeDocument/2006/relationships/hyperlink" Id="rId23" Target="consultantplus://offline/ref=0F895FE9EBE8FFEFB9282729CABE7319B115DBB25654516052872BBDE4EEF726B61908D0F34E6C1C42gDTEN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anti-corruption1/anti-corruption-expertise/detail/1036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consultantplus://offline/ref=0F895FE9EBE8FFEFB9282729CABE7319B115D8B15556566052872BBDE4EEF726B61908D0F34E6C1C48gDTAN" TargetMode="External" /><Relationship Type="http://schemas.openxmlformats.org/officeDocument/2006/relationships/hyperlink" Id="rId23" Target="consultantplus://offline/ref=0F895FE9EBE8FFEFB9282729CABE7319B115DBB25654516052872BBDE4EEF726B61908D0F34E6C1C42gDTEN" TargetMode="External" /><Relationship Type="http://schemas.openxmlformats.org/officeDocument/2006/relationships/hyperlink" Id="rId26" Target="http://zelao.mos.ru" TargetMode="External" /><Relationship Type="http://schemas.openxmlformats.org/officeDocument/2006/relationships/hyperlink" Id="rId25" Target="http://zelao.mos.ru/anti-corruption1/anti-corruption-expertise/detail/1036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2025-05-15T04:27:09Z</dcterms:created>
  <dcterms:modified xsi:type="dcterms:W3CDTF">2025-05-15T04:27:09Z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