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4d3104be1da973c30dcfccf16f799b380a55a9"/>
    <w:p>
      <w:pPr>
        <w:pStyle w:val="Heading3"/>
      </w:pPr>
      <w:r>
        <w:t xml:space="preserve">Методические рекомендации по вопросам соблюдения ограничений, налагаемых на гражданина, замещающего должность государственной (муниципальной службы), при заключении им трудового или гражданско-правового договора с организацией</w:t>
      </w:r>
    </w:p>
    <w:p>
      <w:pPr>
        <w:pStyle w:val="FirstParagraph"/>
      </w:pPr>
      <w:r>
        <w:t xml:space="preserve">12.01.2024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 по вопросам соблюдения ограничений, налагаемых на гражданина, замещающего должность государственной (муниципальной службы), при заключении им трудового или гражданско-правового договора с организацией.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http://zelao.mos.ru/anti-corruption1/methodical-materials/detail/12101441.html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/medialibrary/8c5/1ennh8ef68ysx8moxxzsuq6mke2rw6uy/MR-Ogranicheniya-pri-zaklyuchenii-trudovogo-dogovora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1014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/medialibrary/8c5/1ennh8ef68ysx8moxxzsuq6mke2rw6uy/MR-Ogranicheniya-pri-zaklyuchenii-trudovogo-dogovora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1014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2025-02-19T18:18:23Z</dcterms:created>
  <dcterms:modified xsi:type="dcterms:W3CDTF">2025-02-19T18:18:23Z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