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маркировка-пива-с-15.01.2024"/>
    <w:p>
      <w:pPr>
        <w:pStyle w:val="Heading3"/>
      </w:pPr>
      <w:r>
        <w:t xml:space="preserve">Маркировка пива с 15.01.2024</w:t>
      </w:r>
    </w:p>
    <w:p>
      <w:pPr>
        <w:pStyle w:val="FirstParagraph"/>
      </w:pPr>
      <w:r>
        <w:t xml:space="preserve">28.12.2023</w:t>
      </w:r>
    </w:p>
    <w:p>
      <w:pPr>
        <w:pStyle w:val="BodyText"/>
      </w:pPr>
      <w:r>
        <w:t xml:space="preserve">Правила работы розничных магазинов с маркированными пивом и слабоалкогольными напитками.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http://zelao.mos.ru/consumer-market-/information-for-entrepreneurs/detail/12084741.html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consumer-market-/information-for-entrepreneurs/detail/120847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consumer-market-/information-for-entrepreneurs/detail/120847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2025-02-16T04:07:22Z</dcterms:created>
  <dcterms:modified xsi:type="dcterms:W3CDTF">2025-02-16T04:07:22Z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