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aa2caa1545187f3a2b0b48afd13555a115f25c"/>
    <w:p>
      <w:pPr>
        <w:pStyle w:val="Heading3"/>
      </w:pPr>
      <w:r>
        <w:t xml:space="preserve">Правила размещения и содержания информационных конструкций (вывесок) в городе Москве</w:t>
      </w:r>
    </w:p>
    <w:p>
      <w:pPr>
        <w:pStyle w:val="FirstParagraph"/>
      </w:pPr>
      <w:r>
        <w:t xml:space="preserve">03.03.2025</w:t>
      </w:r>
    </w:p>
    <w:p>
      <w:pPr>
        <w:pStyle w:val="BodyText"/>
      </w:pPr>
      <w:r>
        <w:t xml:space="preserve">В соответствии с постановлением Правительства Москвы от 09.07.2024 № 1521-ПП «О внесении изменений в постановление Правительства Москвы от 25 декабря 2013 г. № 902-ПП»</w:t>
      </w:r>
      <w:r>
        <w:t xml:space="preserve"> </w:t>
      </w:r>
      <w:r>
        <w:rPr>
          <w:bCs/>
          <w:b/>
        </w:rPr>
        <w:t xml:space="preserve">с 01.01.2025</w:t>
      </w:r>
      <w:r>
        <w:t xml:space="preserve"> </w:t>
      </w:r>
      <w:r>
        <w:t xml:space="preserve">в городе Москве для всех настенных, консольных, подвесных информационных конструкций (вывесок)</w:t>
      </w:r>
      <w:r>
        <w:t xml:space="preserve"> </w:t>
      </w:r>
      <w:r>
        <w:rPr>
          <w:bCs/>
          <w:b/>
        </w:rPr>
        <w:t xml:space="preserve">должна быть организована подсветк</w:t>
      </w:r>
      <w:r>
        <w:t xml:space="preserve">а.</w:t>
      </w:r>
    </w:p>
    <w:p>
      <w:pPr>
        <w:pStyle w:val="BodyText"/>
      </w:pPr>
      <w:r>
        <w:t xml:space="preserve">Допускается использование только внутренней подсветки на вывеске.</w:t>
      </w:r>
    </w:p>
    <w:p>
      <w:pPr>
        <w:pStyle w:val="BodyText"/>
      </w:pPr>
      <w:r>
        <w:t xml:space="preserve">Подсветка вывесок в тёмное время суток должна осуществляться в соответствии с графиком работы уличного освещения.</w:t>
      </w:r>
    </w:p>
    <w:p>
      <w:pPr>
        <w:pStyle w:val="BodyText"/>
      </w:pPr>
      <w:r>
        <w:t xml:space="preserve">Подсветка вывески должна иметь немерцающий (статичный, не переключающийся) приглушенный свет, не создавать прямых направленных лучей в окна жилых помещений, а яркость соответствовать требованиям СП 52.13330.2016 «СНиП 23-05-95* Естественное и искусственное освещение».</w:t>
      </w:r>
    </w:p>
    <w:p>
      <w:pPr>
        <w:pStyle w:val="BodyText"/>
      </w:pPr>
      <w:r>
        <w:t xml:space="preserve">В соответствии с требованиями Правил размещения и содержания информационных конструкций в городе Москве, утверждённых постановлением Правительства Москвы от 25.12.2013 № 902-ПП «О размещении информационных конструкций в городе Москве»,</w:t>
      </w:r>
      <w:r>
        <w:t xml:space="preserve"> </w:t>
      </w:r>
      <w:r>
        <w:rPr>
          <w:bCs/>
          <w:b/>
        </w:rPr>
        <w:t xml:space="preserve">вывески с нарушениями обязательных требований подлежат принудительному демонтажу за счёт средств бюджета города Москвы по предписаниям Объединения административно-технических инспекций города Москвы с последующим взысканием затраченных средств с собственников конструкций.</w:t>
      </w:r>
    </w:p>
    <w:p>
      <w:pPr>
        <w:pStyle w:val="BodyText"/>
      </w:pPr>
      <w:r>
        <w:drawing>
          <wp:inline>
            <wp:extent cx="5334000" cy="377113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presscenter/Изменения_правил_вывески_2025_4-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11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http://zelao.mos.ru/consumer-market-/information-for-entrepreneurs/detail/12837553.html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consumer-market-/information-for-entrepreneurs/detail/128375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consumer-market-/information-for-entrepreneurs/detail/128375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2025-03-14T01:00:07Z</dcterms:created>
  <dcterms:modified xsi:type="dcterms:W3CDTF">2025-03-14T01:00:07Z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