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0966e62b69e015a4a6589f35db3f1c9ea1958c"/>
    <w:p>
      <w:pPr>
        <w:pStyle w:val="Heading3"/>
      </w:pPr>
      <w:r>
        <w:t xml:space="preserve">Нормы безопасности в многоквартирных домах</w:t>
      </w:r>
    </w:p>
    <w:p>
      <w:pPr>
        <w:pStyle w:val="FirstParagraph"/>
      </w:pPr>
      <w:r>
        <w:t xml:space="preserve">01.03.2022</w:t>
      </w:r>
    </w:p>
    <w:bookmarkEnd w:id="20"/>
    <w:bookmarkStart w:id="24" w:name="section"/>
    <w:p>
      <w:pPr>
        <w:pStyle w:val="Heading1"/>
      </w:pPr>
    </w:p>
    <w:p>
      <w:pPr>
        <w:pStyle w:val="FirstParagraph"/>
      </w:pPr>
      <w:r>
        <w:drawing>
          <wp:inline>
            <wp:extent cx="1905000" cy="1905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8126894/eaa4c0853c55214af75dd8794a52c802/iblock/46b/46b3ee0a595520cd8d7c2301d9c92764/1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Правила противопожарного режима</w:t>
      </w:r>
    </w:p>
    <w:bookmarkEnd w:id="24"/>
    <w:bookmarkStart w:id="25" w:name="для-многоквартирных-домов"/>
    <w:p>
      <w:pPr>
        <w:pStyle w:val="Heading1"/>
      </w:pPr>
      <w:r>
        <w:t xml:space="preserve">для многоквартирных домов</w:t>
      </w:r>
    </w:p>
    <w:p>
      <w:pPr>
        <w:pStyle w:val="FirstParagraph"/>
      </w:pPr>
      <w:r>
        <w:t xml:space="preserve">Сотрудники Управления Департамента ГОЧСиПБ по Зеленоградскому округу напоминают:</w:t>
      </w:r>
    </w:p>
    <w:p>
      <w:pPr>
        <w:pStyle w:val="BodyText"/>
      </w:pPr>
      <w:r>
        <w:t xml:space="preserve">Уже год действует постановление правительства РФ, в котором обозначены нормы безопасности в многоквартирных домах, но, к сожалению, не везде они соблюдаются.</w:t>
      </w:r>
    </w:p>
    <w:p>
      <w:pPr>
        <w:pStyle w:val="BodyText"/>
      </w:pPr>
      <w:r>
        <w:t xml:space="preserve">В соответствии с этими нормами на территориях населенных пунктов</w:t>
      </w:r>
      <w:r>
        <w:t xml:space="preserve"> </w:t>
      </w:r>
      <w:r>
        <w:rPr>
          <w:bCs/>
          <w:b/>
        </w:rPr>
        <w:t xml:space="preserve">ЗАПРЕЩАЕТСЯ:</w:t>
      </w:r>
    </w:p>
    <w:p>
      <w:pPr>
        <w:pStyle w:val="BodyText"/>
      </w:pPr>
      <w:r>
        <w:rPr>
          <w:bCs/>
          <w:b/>
        </w:rPr>
        <w:t xml:space="preserve">1. Хранить вещи в подвалах и на чердаках,</w:t>
      </w:r>
      <w:r>
        <w:t xml:space="preserve"> </w:t>
      </w:r>
      <w:r>
        <w:t xml:space="preserve">складывать там мебель, оборудование и другие предметы, хранить баллоны с газом, горючие вещества, порох и подобные взрывоопасные составы. Запрещено использовать цокольные и подвальные помещения для создания мастерских или различных складов.</w:t>
      </w:r>
    </w:p>
    <w:p>
      <w:pPr>
        <w:pStyle w:val="BodyText"/>
      </w:pPr>
      <w:r>
        <w:rPr>
          <w:bCs/>
          <w:b/>
        </w:rPr>
        <w:t xml:space="preserve">2. Ставить защитные глухие решетки на окна подвалов</w:t>
      </w:r>
      <w:r>
        <w:t xml:space="preserve">, которые являются аварийными выходами, в т.ч. и управляющей компании, которая следит за зданием.</w:t>
      </w:r>
    </w:p>
    <w:p>
      <w:pPr>
        <w:pStyle w:val="BodyText"/>
      </w:pPr>
      <w:r>
        <w:rPr>
          <w:bCs/>
          <w:b/>
        </w:rPr>
        <w:t xml:space="preserve">3. Убирать двери эвакуационных выходов</w:t>
      </w:r>
      <w:r>
        <w:t xml:space="preserve">, которые могут быть расположены в фойе, между этажами, на лестничных клетках и так далее, такие двери препятствуют распространению огня, если возникает пожар.</w:t>
      </w:r>
    </w:p>
    <w:p>
      <w:pPr>
        <w:pStyle w:val="BodyText"/>
      </w:pPr>
      <w:r>
        <w:rPr>
          <w:bCs/>
          <w:b/>
        </w:rPr>
        <w:t xml:space="preserve">4. Закрывать,</w:t>
      </w:r>
      <w:r>
        <w:t xml:space="preserve"> </w:t>
      </w:r>
      <w:r>
        <w:t xml:space="preserve">застеклять и закрывать жалюзи</w:t>
      </w:r>
      <w:r>
        <w:t xml:space="preserve"> </w:t>
      </w:r>
      <w:r>
        <w:rPr>
          <w:bCs/>
          <w:b/>
        </w:rPr>
        <w:t xml:space="preserve">на общих балконах</w:t>
      </w:r>
      <w:r>
        <w:t xml:space="preserve">, лоджиях и галереях, ведущих к незадымляемым лестничным клеткам.</w:t>
      </w:r>
    </w:p>
    <w:p>
      <w:pPr>
        <w:pStyle w:val="BodyText"/>
      </w:pPr>
      <w:r>
        <w:rPr>
          <w:bCs/>
          <w:b/>
        </w:rPr>
        <w:t xml:space="preserve">5. Размещать внешние блоки кондиционеров</w:t>
      </w:r>
      <w:r>
        <w:t xml:space="preserve"> </w:t>
      </w:r>
      <w:r>
        <w:t xml:space="preserve">там, где они могут помешать пожарным добраться до очага возгорания: на лестничных клетках, в коридорах между этажами и на общих балконах, на пожарных лестницах.</w:t>
      </w:r>
    </w:p>
    <w:p>
      <w:pPr>
        <w:pStyle w:val="BodyText"/>
      </w:pPr>
      <w:r>
        <w:rPr>
          <w:bCs/>
          <w:b/>
        </w:rPr>
        <w:t xml:space="preserve">6. Пользоваться дома газовыми приборами</w:t>
      </w:r>
      <w:r>
        <w:t xml:space="preserve">, которые не проверены газовыми службами. Между прибором, для которого используется газ, и другой мебелью должно быть расстояние не меньше 20 см.</w:t>
      </w:r>
    </w:p>
    <w:p>
      <w:pPr>
        <w:pStyle w:val="BodyText"/>
      </w:pPr>
      <w:r>
        <w:rPr>
          <w:bCs/>
          <w:b/>
        </w:rPr>
        <w:t xml:space="preserve">7. Оставлять без присмотра</w:t>
      </w:r>
      <w:r>
        <w:t xml:space="preserve"> </w:t>
      </w:r>
      <w:r>
        <w:t xml:space="preserve">открытые источники огня (свечи, непотушенные сигареты, лампы и т.п. предметы) на балконах и лоджиях квартир, общежитий и гостиничных номеров.</w:t>
      </w:r>
    </w:p>
    <w:p>
      <w:pPr>
        <w:pStyle w:val="BodyText"/>
      </w:pPr>
      <w:r>
        <w:rPr>
          <w:bCs/>
          <w:b/>
        </w:rPr>
        <w:t xml:space="preserve">8. Парковать автомобиль на</w:t>
      </w:r>
      <w:r>
        <w:t xml:space="preserve"> </w:t>
      </w:r>
      <w:r>
        <w:t xml:space="preserve">площадках, которые предназначены для пожарных машин, на местах, где пожарные набирают воду, например, над колодцем гидранта.</w:t>
      </w:r>
    </w:p>
    <w:p>
      <w:pPr>
        <w:pStyle w:val="BodyText"/>
      </w:pPr>
      <w:r>
        <w:t xml:space="preserve">За нарушение вышеперечисленных правил предусмотрена ответственность как административная в виде штрафа до 5000 рублей (статья 20.4 КоАП РФ), так и уголовная с лишением свободы (статья 219 Уголовного кодекса РФ).</w:t>
      </w:r>
    </w:p>
    <w:p>
      <w:pPr>
        <w:pStyle w:val="BodyText"/>
      </w:pPr>
      <w:r>
        <w:rPr>
          <w:bCs/>
          <w:b/>
        </w:rPr>
        <w:t xml:space="preserve">Если Вы попали в чрезвычайную ситуацию или стали её свидетелем звоните по телефону «112», звонок доступен, как при нулевом балансе телефона, так и при отсутствии сим-карты.</w:t>
      </w:r>
    </w:p>
    <w:bookmarkEnd w:id="25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http://zelao.mos.ru/presscenter/news/detail/10654067.html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7" Target="http://zelao.mos.ru" TargetMode="External" /><Relationship Type="http://schemas.openxmlformats.org/officeDocument/2006/relationships/hyperlink" Id="rId26" Target="http://zelao.mos.ru/presscenter/news/detail/106540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zelao.mos.ru" TargetMode="External" /><Relationship Type="http://schemas.openxmlformats.org/officeDocument/2006/relationships/hyperlink" Id="rId26" Target="http://zelao.mos.ru/presscenter/news/detail/106540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2025-02-16T04:09:05Z</dcterms:created>
  <dcterms:modified xsi:type="dcterms:W3CDTF">2025-02-16T04:09:05Z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