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5ea9af79ad8b10461d3ec0385e0d368dd3d68d"/>
    <w:p>
      <w:pPr>
        <w:pStyle w:val="Heading3"/>
      </w:pPr>
      <w:r>
        <w:t xml:space="preserve">В районе Савелки определен перечень работ по благоустройству дворов на 2023 год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drawing>
          <wp:inline>
            <wp:extent cx="5334000" cy="36172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9b1/gzz9ouaoqy1artassgv2c930qiqhcbm7/V-rayone-Savelki-opredelen-perechen-rabot-po-blagoustroystvu-dvorov-na-2023-g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72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Депутаты муниципального округа Савелки согласовали направление средств стимулирования управы района Савелки на реализацию мероприятий по благоустройству дворовых территорий в 2023 году. Документ</w:t>
      </w:r>
      <w:r>
        <w:t xml:space="preserve"> </w:t>
      </w:r>
      <w:hyperlink r:id="rId23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на сайте депутатского корпуса.</w:t>
      </w:r>
    </w:p>
    <w:p>
      <w:pPr>
        <w:pStyle w:val="BodyText"/>
      </w:pPr>
      <w:r>
        <w:t xml:space="preserve">В программу благоустройства на текущий год вошли дворовые территории корпусов 501, 617-618, 623, 351-351, 306-307-308, 331. Перечень работ – примерно одинаковый по всем дворам: замена асфальта и бордюров на проездах и тротуарах, пешеходных дорожках, ремонт детских и спортивных площадок, контейнерных площадок.</w:t>
      </w:r>
    </w:p>
    <w:p>
      <w:pPr>
        <w:pStyle w:val="BodyText"/>
      </w:pPr>
      <w: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http://zelao.mos.ru/presscenter/news/detail/11430210.html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430210.html" TargetMode="External" /><Relationship Type="http://schemas.openxmlformats.org/officeDocument/2006/relationships/hyperlink" Id="rId23" Target="https://sovet.savelki.ru/arhiv_reshenij_soveta_deputatov/2401_o_soglasovanii_napravleniya_sredstv_stimulirovaniya_upravy_rajona_savel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430210.html" TargetMode="External" /><Relationship Type="http://schemas.openxmlformats.org/officeDocument/2006/relationships/hyperlink" Id="rId23" Target="https://sovet.savelki.ru/arhiv_reshenij_soveta_deputatov/2401_o_soglasovanii_napravleniya_sredstv_stimulirovaniya_upravy_rajona_savel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2025-03-28T18:20:29Z</dcterms:created>
  <dcterms:modified xsi:type="dcterms:W3CDTF">2025-03-28T18:20:29Z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