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997e5fd3554018f283e790ae9cbcea103d09f"/>
    <w:p>
      <w:pPr>
        <w:pStyle w:val="Heading3"/>
      </w:pPr>
      <w:r>
        <w:t xml:space="preserve">На 20 объектах благоустройства в Зеленограде завершены фактические работы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rPr>
          <w:bCs/>
          <w:b/>
        </w:rPr>
        <w:t xml:space="preserve">21.07.2023</w:t>
      </w:r>
    </w:p>
    <w:p>
      <w:pPr>
        <w:pStyle w:val="BodyText"/>
      </w:pPr>
      <w:r>
        <w:drawing>
          <wp:inline>
            <wp:extent cx="53340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114/215szta555og2lthktjci9ake9ow8lpi/_-20-_-_-_-_-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продолжается горячая пора комплексного благоустройства территории.</w:t>
      </w:r>
    </w:p>
    <w:p>
      <w:pPr>
        <w:pStyle w:val="BodyText"/>
      </w:pPr>
      <w:r>
        <w:t xml:space="preserve">Как напомнил заместитель префекта округа Олег Панин, всего этим летом будут благоустроены 55 объектов. На сегодняшний день фактические работы завершены по 20 объектам. Среди завершенных и сданных ОАТИ объектов: корпуса 1519-1520, 1824, 2033, 1116, 1117, 802, 1445, 501, 706-707, 708-709. Еще 10 объектов находятся на проверке контролирующих организаций: корпуса 306-308, 618, 902, 929, 1116, 1208, 1625-1626, 2022-2024, 351-352, 813.</w:t>
      </w:r>
    </w:p>
    <w:p>
      <w:pPr>
        <w:pStyle w:val="BodyText"/>
      </w:pPr>
      <w:r>
        <w:t xml:space="preserve">Специалисты занимаются установкой малых архитектурных форм (МАФ), демонтажом и монтажом бортового камня, устройством асфальтового покрытия дорожек и резинового покрытия детских площадок, восстановлением газона.</w:t>
      </w:r>
    </w:p>
    <w:p>
      <w:pPr>
        <w:pStyle w:val="BodyText"/>
      </w:pPr>
      <w:r>
        <w:t xml:space="preserve">Что касается МАФ, то в этом году в Зеленограде появятся более 1500 элементов. Из них установлено половина – более 750.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http://zelao.mos.ru/presscenter/news/detail/11728901.html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28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28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2025-05-01T09:30:29Z</dcterms:created>
  <dcterms:modified xsi:type="dcterms:W3CDTF">2025-05-01T09:30:29Z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