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совершенствование-налоговой-системы"/>
    <w:p>
      <w:pPr>
        <w:pStyle w:val="Heading3"/>
      </w:pPr>
      <w:r>
        <w:t xml:space="preserve">Совершенствование налоговой системы</w:t>
      </w:r>
    </w:p>
    <w:p>
      <w:pPr>
        <w:pStyle w:val="FirstParagraph"/>
      </w:pPr>
      <w:r>
        <w:t xml:space="preserve">15.01.2025</w:t>
      </w:r>
    </w:p>
    <w:p>
      <w:pPr>
        <w:pStyle w:val="BodyText"/>
      </w:pPr>
      <w:r>
        <w:rPr>
          <w:bCs/>
          <w:b/>
        </w:rPr>
        <w:t xml:space="preserve">15.01.2025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9489251/66c5ce54797c3fa6bc7ea81ca60becc9/iblock/711/711f906c64552e1710773625fba69ebd/nalog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январе вступили в силу комплексные изменения в Налоговый кодекс. Для граждан с доходами до 2,4 млн рублей в год ставка НДФЛ останется на уровне 13 %. При доходах от 2,4 млн до 5 млн рублей налог составит 15 %, от 5 млн до 20 млн — 18 %, от 20 млн до 50 млн — 20 %, а свыше 50 млн рублей в год — 22 %. Налог на прибыль организаций повысится с 20 до 25 %.</w:t>
      </w:r>
    </w:p>
    <w:p>
      <w:pPr>
        <w:pStyle w:val="BodyText"/>
      </w:pPr>
      <w:r>
        <w:t xml:space="preserve">Председатель Государственной Думы Вячеслав Володин ранее подчеркивал, что «все дополнительные доходы, которые появятся в связи с введением прогрессивной шкалы налоговой ставки, пойдут в доход федерального бюджета и будут направлены на поддержку тех, кто в этом больше всего нуждается, — семей с детьми, пенсионеров, ветеранов». (Источник: сайт Государственной Думы Федерального Собрания РФ http://duma.gov.ru/news/60677/)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http://zelao.mos.ru/presscenter/news/detail/12759233.html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7592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7592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2025-05-12T08:58:11Z</dcterms:created>
  <dcterms:modified xsi:type="dcterms:W3CDTF">2025-05-12T08:58:11Z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