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0704c950648d1f97ed504609d1283fba925a9"/>
    <w:p>
      <w:pPr>
        <w:pStyle w:val="Heading3"/>
      </w:pPr>
      <w:r>
        <w:t xml:space="preserve">14 из 97 зеленоградских торговых палаток разрисованы граффити</w:t>
      </w:r>
    </w:p>
    <w:p>
      <w:pPr>
        <w:pStyle w:val="FirstParagraph"/>
      </w:pPr>
      <w:r>
        <w:t xml:space="preserve">27.03.2021</w:t>
      </w:r>
    </w:p>
    <w:p>
      <w:pPr>
        <w:pStyle w:val="BodyText"/>
      </w:pPr>
      <w:r>
        <w:drawing>
          <wp:inline>
            <wp:extent cx="1905000" cy="1143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516631/eaa4c0853c55214af75dd8794a52c802/iblock/d82/d82899ac41ed59dceb5b249c8c8dbfb2/graf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провели мониторинг торговых палаток. Об этом на оперативном совещании префекту Анатолию Смирнову доложил его заместитель Дмитрий Лавров.</w:t>
      </w:r>
    </w:p>
    <w:p>
      <w:pPr>
        <w:pStyle w:val="BodyText"/>
      </w:pPr>
      <w:r>
        <w:rPr>
          <w:iCs/>
          <w:i/>
        </w:rPr>
        <w:t xml:space="preserve">– Из 97 установленных в округе нестационарных торговых объектов по 14 объектам выявлены нарушения – наличие граффити,</w:t>
      </w:r>
      <w:r>
        <w:t xml:space="preserve"> </w:t>
      </w:r>
      <w:r>
        <w:t xml:space="preserve">– сообщил он.</w:t>
      </w:r>
    </w:p>
    <w:p>
      <w:pPr>
        <w:pStyle w:val="BodyText"/>
      </w:pPr>
      <w:r>
        <w:t xml:space="preserve">Дмитрий Лавров подчеркнул, что хозяйственные субъекты должны постоянно следить за внешним видом палаток, граффити на них необходимо устранять в регулярном режиме.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http://zelao.mos.ru/presscenter/news/detail/9820317.html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820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820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2025-04-17T07:36:29Z</dcterms:created>
  <dcterms:modified xsi:type="dcterms:W3CDTF">2025-04-17T07:36:29Z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