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0bb5ecc1d53f624182e113c44d627fc004b79"/>
    <w:p>
      <w:pPr>
        <w:pStyle w:val="Heading3"/>
      </w:pPr>
      <w:r>
        <w:t xml:space="preserve">Новый песок появится во всех песочницах детских площадок Зеленограда до 25 апреля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drawing>
          <wp:inline>
            <wp:extent cx="1905000" cy="838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85680/eaa4c0853c55214af75dd8794a52c802/iblock/865/86520e69aa9cff29b2f071ce6429af75/op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25 апреля во всех песочницах детских площадок Зеленограда появится новый песок. Об этом префекту округа Анатолию Смирнову доложили на оперативном совещании в префектуре.</w:t>
      </w:r>
    </w:p>
    <w:p>
      <w:pPr>
        <w:pStyle w:val="BodyText"/>
      </w:pPr>
      <w:r>
        <w:t xml:space="preserve">Замена песка – стандартная процедура, которая проводится каждый год. Во всех районах округа новый песок уже завезен, идут работы по его замене.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http://zelao.mos.ru/presscenter/news/detail/9900092.html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00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00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2025-08-06T02:21:51Z</dcterms:created>
  <dcterms:modified xsi:type="dcterms:W3CDTF">2025-08-06T02:21:51Z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