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d442810be08ce052128c2d71ab1614ba680af"/>
    <w:p>
      <w:pPr>
        <w:pStyle w:val="Heading3"/>
      </w:pPr>
      <w:r>
        <w:t xml:space="preserve">В Зеленограде согласие на переселение по первому этапу программы реновации дали жители 295 из 306 квартир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659322/eaa4c0853c55214af75dd8794a52c802/iblock/af9/af98b53aa925dcf09af0fd8c859bee92/reno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Переселение зеленоградцев в новые дома по первому этапу программы реновации продолжается. Об этом на оперативном совещании префекту Анатолию Смирнову доложил его заместитель Дмитрий Морозов.</w:t>
      </w:r>
      <w:r>
        <w:br/>
      </w:r>
      <w:r>
        <w:br/>
      </w:r>
      <w:r>
        <w:t xml:space="preserve">– По состоянию на 28 мая из 306 квартир дали согласие 295, отказались 2, заключено 259 договоров, переехали порядка 220 семей, – сообщил зампрефекта.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http://zelao.mos.ru/presscenter/news/detail/9989657.html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8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8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2025-08-06T02:21:51Z</dcterms:created>
  <dcterms:modified xsi:type="dcterms:W3CDTF">2025-08-06T02:21:51Z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