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0034bfc3abd0d5c9bb8acb2375de2ad4282981"/>
    <w:p>
      <w:pPr>
        <w:pStyle w:val="Heading3"/>
      </w:pPr>
      <w:r>
        <w:t xml:space="preserve">Прокурор округа Родин В.А. по обращению гражданина Леонтьева Л.Н.</w:t>
      </w:r>
    </w:p>
    <w:p>
      <w:pPr>
        <w:pStyle w:val="FirstParagraph"/>
      </w:pPr>
      <w:r>
        <w:t xml:space="preserve">28.06.2021</w:t>
      </w:r>
    </w:p>
    <w:p>
      <w:pPr>
        <w:pStyle w:val="BodyText"/>
      </w:pPr>
      <w:r>
        <w:t xml:space="preserve">Прокурор округа Родин В.А. по обращению гражданина Леонтьева Л.Н. совместно с сотрудниками Управления по ЗелАО ГУ МЧС России по г.Москве провел проверку соблюдения правил пожарной безопасности в жилых домах 4 микрорайона г.Зеленограда г.Москвы. В ходе проверки выявлены нарушения правил и норм пожарной безопасности, в том числе допущенные при проведении капитального ремонта.</w:t>
      </w:r>
    </w:p>
    <w:p>
      <w:pPr>
        <w:pStyle w:val="BodyText"/>
      </w:pPr>
      <w:r>
        <w:t xml:space="preserve">В связи с выявленным фактом использования подложного документа при приемке работ по капитальному ремонту, прокуратурой округа направлены материалы в порядке п.2 ч.2 ст.37 УПК РФ для осуществления уголовного преследования по ч.5 ст.327 УК РФ.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http://zelao.mos.ru/the-rule-of-law/the-prosecutor-explains/detail/10064807.html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Зеленоградского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elao.mos.ru" TargetMode="External" /><Relationship Type="http://schemas.openxmlformats.org/officeDocument/2006/relationships/hyperlink" Id="rId20" Target="http://zelao.mos.ru/the-rule-of-law/the-prosecutor-explains/detail/1006480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elao.mos.ru" TargetMode="External" /><Relationship Type="http://schemas.openxmlformats.org/officeDocument/2006/relationships/hyperlink" Id="rId20" Target="http://zelao.mos.ru/the-rule-of-law/the-prosecutor-explains/detail/1006480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2025-06-13T03:56:55Z</dcterms:created>
  <dcterms:modified xsi:type="dcterms:W3CDTF">2025-06-13T03:56:55Z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