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держать-дома-ручную-лису-запрещено"/>
    <w:p>
      <w:pPr>
        <w:pStyle w:val="Heading3"/>
      </w:pPr>
      <w:r>
        <w:t xml:space="preserve">Держать дома ручную лису запрещено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Верховный Суд РФ подтвердил законность запрета заводить лису (даже одомашненную генно-модифицированную) в качестве домашнего питомца (</w:t>
      </w:r>
      <w:hyperlink r:id="rId20">
        <w:r>
          <w:rPr>
            <w:rStyle w:val="Hyperlink"/>
          </w:rPr>
          <w:t xml:space="preserve">Решение Верховного Суда РФ от 12 мая 2021 г. № АКПИ21-184</w:t>
        </w:r>
      </w:hyperlink>
      <w:r>
        <w:t xml:space="preserve">).</w:t>
      </w:r>
    </w:p>
    <w:p>
      <w:pPr>
        <w:pStyle w:val="BodyText"/>
      </w:pPr>
      <w:r>
        <w:t xml:space="preserve">Запрет – в части ручных лисиц – оспаривал лисовед, желающий завести лисичку не простую лесную (Vulpes vulpes – "лисица обыкновенная"), а домашнюю новосибирскую, выведенную в Федеральном государственном бюджетном научном учреждении "Федеральный исследовательский центр Институт цитологии и генетики Сибирского отделения Российской академии наук" (ИЦиГ СО РАН).</w:t>
      </w:r>
    </w:p>
    <w:p>
      <w:pPr>
        <w:pStyle w:val="BodyText"/>
      </w:pPr>
      <w:r>
        <w:t xml:space="preserve">Такие домашние лисицы, по утверждению истца, находятся на содержании владельцев – физических лиц, содержатся в жилых помещениях и в целом полностью используются как традиционные домашние животные (например, как собаки или кошки), не опасны для человека.</w:t>
      </w:r>
    </w:p>
    <w:p>
      <w:pPr>
        <w:pStyle w:val="BodyText"/>
      </w:pPr>
      <w:r>
        <w:t xml:space="preserve">Однако поскольку биологически они не перестали принадлежать к Vulpes vulpes, то попали в</w:t>
      </w:r>
      <w:r>
        <w:t xml:space="preserve"> </w:t>
      </w:r>
      <w:hyperlink r:id="rId21">
        <w:r>
          <w:rPr>
            <w:rStyle w:val="Hyperlink"/>
          </w:rPr>
          <w:t xml:space="preserve">список</w:t>
        </w:r>
      </w:hyperlink>
      <w:r>
        <w:t xml:space="preserve"> </w:t>
      </w:r>
      <w:r>
        <w:t xml:space="preserve">животных, запрещенных к содержанию. И если завести такую лису</w:t>
      </w:r>
      <w:r>
        <w:t xml:space="preserve"> </w:t>
      </w:r>
      <w:hyperlink r:id="rId22">
        <w:r>
          <w:rPr>
            <w:rStyle w:val="Hyperlink"/>
          </w:rPr>
          <w:t xml:space="preserve">после</w:t>
        </w:r>
      </w:hyperlink>
      <w:r>
        <w:t xml:space="preserve"> </w:t>
      </w:r>
      <w:r>
        <w:t xml:space="preserve">января 2020 года, – ее</w:t>
      </w:r>
      <w:r>
        <w:t xml:space="preserve"> </w:t>
      </w:r>
      <w:hyperlink r:id="rId23">
        <w:r>
          <w:rPr>
            <w:rStyle w:val="Hyperlink"/>
          </w:rPr>
          <w:t xml:space="preserve">изымут</w:t>
        </w:r>
      </w:hyperlink>
      <w:r>
        <w:t xml:space="preserve">, питомец получит стресс от расставания с хозяином, а если потом ее отпустить на волю, она погибнет от голода или хищников. Потому что ни защититься, ни добыть себе пропитание не в состоянии. А значит, действия компетентных органов, хотя и формально соответствующие закону, могут прямо порождать жестокое обращение с животными. А вот это уже противоречит Закону об ответственном обращении с животными -</w:t>
      </w:r>
      <w:r>
        <w:t xml:space="preserve"> </w:t>
      </w:r>
      <w:hyperlink r:id="rId24">
        <w:r>
          <w:rPr>
            <w:rStyle w:val="Hyperlink"/>
          </w:rPr>
          <w:t xml:space="preserve">запрету</w:t>
        </w:r>
      </w:hyperlink>
      <w:r>
        <w:t xml:space="preserve"> </w:t>
      </w:r>
      <w:r>
        <w:t xml:space="preserve">жестокого обращения с ними и</w:t>
      </w:r>
      <w:r>
        <w:t xml:space="preserve"> </w:t>
      </w:r>
      <w:hyperlink r:id="rId25">
        <w:r>
          <w:rPr>
            <w:rStyle w:val="Hyperlink"/>
          </w:rPr>
          <w:t xml:space="preserve">принципу</w:t>
        </w:r>
      </w:hyperlink>
      <w:r>
        <w:t xml:space="preserve"> </w:t>
      </w:r>
      <w:r>
        <w:t xml:space="preserve">отношения к животным как к существам, способным испытывать эмоции и физические страдания.</w:t>
      </w:r>
    </w:p>
    <w:p>
      <w:pPr>
        <w:pStyle w:val="BodyText"/>
      </w:pPr>
      <w:r>
        <w:t xml:space="preserve">Однако Верховный Суд РФ истца не поддержал.</w:t>
      </w:r>
    </w:p>
    <w:p>
      <w:pPr>
        <w:pStyle w:val="BodyText"/>
      </w:pPr>
      <w:r>
        <w:t xml:space="preserve">При подготовке проекта постановления о перечне животных, запрещенных к содержанию, были привлечены представители экспертного сообщества и общественных объединений, таких как Московский зоопарк, Российская академия наук, Институт проблем экологии и эволюции им. А.Н. Северцова;</w:t>
      </w:r>
    </w:p>
    <w:p>
      <w:pPr>
        <w:pStyle w:val="BodyText"/>
      </w:pPr>
      <w:r>
        <w:t xml:space="preserve">Доводы о том, что широкая формулировка</w:t>
      </w:r>
      <w:r>
        <w:t xml:space="preserve"> </w:t>
      </w:r>
      <w:hyperlink r:id="rId21">
        <w:r>
          <w:rPr>
            <w:rStyle w:val="Hyperlink"/>
          </w:rPr>
          <w:t xml:space="preserve">Перечня</w:t>
        </w:r>
      </w:hyperlink>
      <w:r>
        <w:t xml:space="preserve"> </w:t>
      </w:r>
      <w:r>
        <w:t xml:space="preserve">"обыкновенная лисица (Vulpes vulpes)" противоречит нормам Закона об ответственном обращении с животными и не позволяет считать одомашненных новосибирских лисиц домашними животными, являются несостоятельными, поскольку фактически сводятся к внесению в оспариваемый перечень соответствующих изменений с исключением одомашненных лисиц из числа животных, запрещенных к содержанию. Однако вопрос о внесении в нормативный правовой акт соответствующих изменений и дополнений не отнесены законом к компетенции судов.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http://zelao.mos.ru/the-rule-of-law/the-prosecutor-explains/detail/10064920.html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base.garant.ru/72139416/1b93c134b90c6071b4dc3f495464b753/#block_41" TargetMode="External" /><Relationship Type="http://schemas.openxmlformats.org/officeDocument/2006/relationships/hyperlink" Id="rId22" Target="http://base.garant.ru/72139416/3e01a7fa47957b2f627d012fe630f5c6/#block_273" TargetMode="External" /><Relationship Type="http://schemas.openxmlformats.org/officeDocument/2006/relationships/hyperlink" Id="rId23" Target="http://base.garant.ru/72139416/94f5bf092e8d98af576ee351987de4f0/#block_22" TargetMode="External" /><Relationship Type="http://schemas.openxmlformats.org/officeDocument/2006/relationships/hyperlink" Id="rId24" Target="http://base.garant.ru/72139416/9d78f2e21a0e8d6e5a75ac4e4a939832/#block_111" TargetMode="External" /><Relationship Type="http://schemas.openxmlformats.org/officeDocument/2006/relationships/hyperlink" Id="rId21" Target="http://base.garant.ru/72281062/#block_16" TargetMode="External" /><Relationship Type="http://schemas.openxmlformats.org/officeDocument/2006/relationships/hyperlink" Id="rId20" Target="http://ivo.garant.ru/#/document/400913791/paragraph/1:0" TargetMode="External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the-rule-of-law/the-prosecutor-explains/detail/100649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base.garant.ru/72139416/1b93c134b90c6071b4dc3f495464b753/#block_41" TargetMode="External" /><Relationship Type="http://schemas.openxmlformats.org/officeDocument/2006/relationships/hyperlink" Id="rId22" Target="http://base.garant.ru/72139416/3e01a7fa47957b2f627d012fe630f5c6/#block_273" TargetMode="External" /><Relationship Type="http://schemas.openxmlformats.org/officeDocument/2006/relationships/hyperlink" Id="rId23" Target="http://base.garant.ru/72139416/94f5bf092e8d98af576ee351987de4f0/#block_22" TargetMode="External" /><Relationship Type="http://schemas.openxmlformats.org/officeDocument/2006/relationships/hyperlink" Id="rId24" Target="http://base.garant.ru/72139416/9d78f2e21a0e8d6e5a75ac4e4a939832/#block_111" TargetMode="External" /><Relationship Type="http://schemas.openxmlformats.org/officeDocument/2006/relationships/hyperlink" Id="rId21" Target="http://base.garant.ru/72281062/#block_16" TargetMode="External" /><Relationship Type="http://schemas.openxmlformats.org/officeDocument/2006/relationships/hyperlink" Id="rId20" Target="http://ivo.garant.ru/#/document/400913791/paragraph/1:0" TargetMode="External" /><Relationship Type="http://schemas.openxmlformats.org/officeDocument/2006/relationships/hyperlink" Id="rId27" Target="http://zelao.mos.ru" TargetMode="External" /><Relationship Type="http://schemas.openxmlformats.org/officeDocument/2006/relationships/hyperlink" Id="rId26" Target="http://zelao.mos.ru/the-rule-of-law/the-prosecutor-explains/detail/100649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2025-06-14T16:38:07Z</dcterms:created>
  <dcterms:modified xsi:type="dcterms:W3CDTF">2025-06-14T16:38:07Z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