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вернуть-деньги-данные-в-долг"/>
    <w:p>
      <w:pPr>
        <w:pStyle w:val="Heading3"/>
      </w:pPr>
      <w:r>
        <w:t xml:space="preserve">Как вернуть деньги, данные в долг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По закону договор займа между физическими лицами на сумму свыше 10 тыс. руб. должен быть оформлен в простой письменной форме, в т.ч. распиской, и считается заключенным с момента передачи денег.</w:t>
      </w:r>
    </w:p>
    <w:p>
      <w:pPr>
        <w:pStyle w:val="BodyText"/>
      </w:pPr>
      <w:r>
        <w:t xml:space="preserve">Долг подлежит возврату в указанный в договоре срок и считается исполненным в момент передачи денег тому, кто их дал или зачисления на его счет в банке.</w:t>
      </w:r>
    </w:p>
    <w:p>
      <w:pPr>
        <w:pStyle w:val="BodyText"/>
      </w:pPr>
      <w:r>
        <w:t xml:space="preserve">Если срок возврата договором не установлен, долг подлежит возврату в течение 30 дней со дня предъявления требования об этом.</w:t>
      </w:r>
    </w:p>
    <w:p>
      <w:pPr>
        <w:pStyle w:val="BodyText"/>
      </w:pPr>
      <w:r>
        <w:t xml:space="preserve">При невозврате суммы в срок защита прав осуществляется в судебном порядке.</w:t>
      </w:r>
    </w:p>
    <w:p>
      <w:pPr>
        <w:pStyle w:val="BodyText"/>
      </w:pPr>
      <w:r>
        <w:t xml:space="preserve">За уклонение от возврата займодавец вправе требовать уплаты процентов на сумму долга в размере, определяемом ключевой ставкой Банка России, действовавшей в соответствующие периоды (решения о размере названной ставки размещены на официальном сайте Банка России).</w:t>
      </w:r>
    </w:p>
    <w:p>
      <w:pPr>
        <w:pStyle w:val="BodyText"/>
      </w:pPr>
      <w:r>
        <w:t xml:space="preserve">Эти правила применяются, если иной размер процентов не установлен законом или договором.</w:t>
      </w:r>
    </w:p>
    <w:p>
      <w:pPr>
        <w:pStyle w:val="BodyText"/>
      </w:pPr>
      <w:r>
        <w:t xml:space="preserve">За взысканием долга, размер которого не превышает 50 тыс. руб., следует обращаться к мировому судье, если сумма больше – в районный суд по месту жительства должника.</w:t>
      </w:r>
    </w:p>
    <w:p>
      <w:pPr>
        <w:pStyle w:val="BodyText"/>
      </w:pPr>
      <w:r>
        <w:t xml:space="preserve">Несоблюдение простой письменной формы лишает стороны права в случае спора ссылаться в подтверждение сделки и ее условий на свидетельские показания, но не лишает права приводить письменные и другие доказательства, свидетельствующие о признании долга, сроков и условий его возврата.</w:t>
      </w:r>
    </w:p>
    <w:p>
      <w:pPr>
        <w:pStyle w:val="BodyText"/>
      </w:pPr>
      <w:r>
        <w:t xml:space="preserve">За рассмотрение дела судом уплачивается государственная пошлина, размер которой установлен ст. 333.19 части 2 Налогового кодекса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2025-05-01T05:04:05Z</dcterms:created>
  <dcterms:modified xsi:type="dcterms:W3CDTF">2025-05-01T05:04:05Z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