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4908545489d3e9d5f2092c28b8ba63b7d5e8f9"/>
    <w:p>
      <w:pPr>
        <w:pStyle w:val="Heading3"/>
      </w:pPr>
      <w:r>
        <w:t xml:space="preserve">Может ли работодатель взыскать ущерб, причиненный в результате совершенного работником административного правонарушения в процессе выполнения служебных обязанностей</w:t>
      </w:r>
    </w:p>
    <w:p>
      <w:pPr>
        <w:pStyle w:val="FirstParagraph"/>
      </w:pPr>
      <w:r>
        <w:t xml:space="preserve">28.06.2021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По общему правилу работник обязан возместить работодателю причиненный</w:t>
      </w:r>
      <w:r>
        <w:t xml:space="preserve"> </w:t>
      </w:r>
      <w:hyperlink r:id="rId20">
        <w:r>
          <w:rPr>
            <w:rStyle w:val="Hyperlink"/>
          </w:rPr>
          <w:t xml:space="preserve">ущерб</w:t>
        </w:r>
      </w:hyperlink>
      <w:r>
        <w:t xml:space="preserve"> </w:t>
      </w:r>
      <w:r>
        <w:t xml:space="preserve"> </w:t>
      </w:r>
      <w:r>
        <w:t xml:space="preserve">в пределах своего среднего месячного заработка (ст. 241 Трудового кодекса РФ (ТК РФ).</w:t>
      </w:r>
    </w:p>
    <w:p>
      <w:pPr>
        <w:pStyle w:val="BodyText"/>
      </w:pPr>
      <w:r>
        <w:t xml:space="preserve">Материальная ответственность в полном размере причиненного ущерба возлагается на работника в случаях, специально предусмотренных Трудовым кодексом РФ или иными федеральными законами, например, Федеральным законом «О связи».</w:t>
      </w:r>
    </w:p>
    <w:p>
      <w:pPr>
        <w:pStyle w:val="BodyText"/>
      </w:pPr>
      <w:r>
        <w:t xml:space="preserve">В частности, материальная ответственность в полном размере может быть возложена на работника при наличии его вины в причинении ущерба в результате административного правонарушения, если таковой установлен соответствующим государственным органом, обладающим административной юрисдикцией (ст. 243 ТК РФ).</w:t>
      </w:r>
    </w:p>
    <w:p>
      <w:pPr>
        <w:pStyle w:val="BodyText"/>
      </w:pPr>
      <w:r>
        <w:t xml:space="preserve">Основанием привлечения к ответственности будет являться постановление уполномоченного органа</w:t>
      </w:r>
      <w:r>
        <w:t xml:space="preserve"> </w:t>
      </w:r>
      <w:hyperlink r:id="rId21">
        <w:r>
          <w:rPr>
            <w:rStyle w:val="Hyperlink"/>
          </w:rPr>
          <w:t xml:space="preserve">о назначении</w:t>
        </w:r>
      </w:hyperlink>
      <w:r>
        <w:t xml:space="preserve"> </w:t>
      </w:r>
      <w:r>
        <w:t xml:space="preserve">в отношении работника административного наказания или о</w:t>
      </w:r>
      <w:r>
        <w:t xml:space="preserve"> </w:t>
      </w:r>
      <w:hyperlink r:id="rId22">
        <w:r>
          <w:rPr>
            <w:rStyle w:val="Hyperlink"/>
          </w:rPr>
          <w:t xml:space="preserve">прекращении</w:t>
        </w:r>
      </w:hyperlink>
      <w:r>
        <w:t xml:space="preserve"> </w:t>
      </w:r>
      <w:r>
        <w:t xml:space="preserve">производства по делу об административном правонарушении в связи с его малозначительностью, как документ, подтверждающий вину.</w:t>
      </w:r>
    </w:p>
    <w:p>
      <w:pPr>
        <w:pStyle w:val="BodyText"/>
      </w:pPr>
      <w:r>
        <w:t xml:space="preserve">Например, водитель автомобиля предприятия стал виновником ДТП, за что постановлением начальника ГИБДД привлечен к административной ответственности. В аварии пострадал и управляемый им автомобиль, который впоследствии был восстановлен за счет средств предприятия. Сумма восстановительного ремонта и есть тот ущерб, который может быть взыскан с водителя.</w:t>
      </w:r>
    </w:p>
    <w:p>
      <w:pPr>
        <w:pStyle w:val="BodyText"/>
      </w:pPr>
      <w:r>
        <w:t xml:space="preserve">Неполученные доходы (упущенная выгода) по закону взысканию с работника не подлежат.</w:t>
      </w:r>
    </w:p>
    <w:p>
      <w:pPr>
        <w:pStyle w:val="BodyText"/>
      </w:pPr>
      <w:r>
        <w:t xml:space="preserve">Если работник не привлечен к административной ответственности, однако имеется его вина, то работодатель по результатам служебной проверки вправе взыскать причиненный ущерб в пределах среднего месячного заработка, о чем не позднее месяца со дня окончательного установления размера ущерба должно быть издано распоряжение.</w:t>
      </w:r>
    </w:p>
    <w:p>
      <w:pPr>
        <w:pStyle w:val="BodyText"/>
      </w:pPr>
      <w:r>
        <w:t xml:space="preserve">В случае истечения месячного срока или отказа работника добровольно погасить ущерб, спор может быть разрешен в судебном порядке (ст. 248 ТК РФ). При этом срок давности на обращение за судебной защитой для работодателя составляет 1 год со дня обнаружения ущерба (ст. 392 ТК РФ).</w:t>
      </w:r>
    </w:p>
    <w:p>
      <w:pPr>
        <w:pStyle w:val="BodyText"/>
      </w:pPr>
      <w:r>
        <w:t xml:space="preserve">Законом работодателю предоставлено право отказа от взыскания ущерба с работника (ст. 240 ТК РФ).</w:t>
      </w:r>
    </w:p>
    <w:p>
      <w:pPr>
        <w:pStyle w:val="BodyText"/>
      </w:pPr>
      <w:r>
        <w:t xml:space="preserve">При необходимости действия работодателя могут быть обжалованы в Государственную инспекцию труда г. Москвы или оспорены в суде в 3-х месячный срок с момента нарушения прав.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http://zelao.mos.ru/the-rule-of-law/the-prosecutor-explains/detail/10064949.html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consultantplus://offline/ref=38D79D667FFB67019267387F25390FA8DB4198FEFAFC5CDE1D73962D61A9D5925D0EA0F8F888FB22rEN8H" TargetMode="External" /><Relationship Type="http://schemas.openxmlformats.org/officeDocument/2006/relationships/hyperlink" Id="rId21" Target="consultantplus://offline/ref=38D79D667FFB67019267387F25390FA8DB4198FEFAFC5CDE1D73962D61A9D5925D0EA0F8F888FB22rEN9H" TargetMode="External" /><Relationship Type="http://schemas.openxmlformats.org/officeDocument/2006/relationships/hyperlink" Id="rId20" Target="consultantplus://offline/ref=83E3A419E102281DFB3953BDBD27755AC2B77B898AFBD57792C1F24CE847B0EA269589A62BAB72A0q6l9I" TargetMode="External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the-rule-of-law/the-prosecutor-explains/detail/100649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consultantplus://offline/ref=38D79D667FFB67019267387F25390FA8DB4198FEFAFC5CDE1D73962D61A9D5925D0EA0F8F888FB22rEN8H" TargetMode="External" /><Relationship Type="http://schemas.openxmlformats.org/officeDocument/2006/relationships/hyperlink" Id="rId21" Target="consultantplus://offline/ref=38D79D667FFB67019267387F25390FA8DB4198FEFAFC5CDE1D73962D61A9D5925D0EA0F8F888FB22rEN9H" TargetMode="External" /><Relationship Type="http://schemas.openxmlformats.org/officeDocument/2006/relationships/hyperlink" Id="rId20" Target="consultantplus://offline/ref=83E3A419E102281DFB3953BDBD27755AC2B77B898AFBD57792C1F24CE847B0EA269589A62BAB72A0q6l9I" TargetMode="External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the-rule-of-law/the-prosecutor-explains/detail/100649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2025-04-02T22:08:39Z</dcterms:created>
  <dcterms:modified xsi:type="dcterms:W3CDTF">2025-04-02T22:08:39Z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