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41f10cf1412edd902a791f4210b2b34486bee9"/>
    <w:p>
      <w:pPr>
        <w:pStyle w:val="Heading3"/>
      </w:pPr>
      <w:r>
        <w:t xml:space="preserve">Вина и ее влияние на квалификацию преступлений</w:t>
      </w:r>
    </w:p>
    <w:p>
      <w:pPr>
        <w:pStyle w:val="FirstParagraph"/>
      </w:pPr>
      <w:r>
        <w:t xml:space="preserve">05.12.2021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t xml:space="preserve">Содержание субъективной стороны преступления раскрывается с помощью признаком: вина (обязательно), мотив и цель (факультативно).</w:t>
      </w:r>
    </w:p>
    <w:p>
      <w:pPr>
        <w:pStyle w:val="BodyText"/>
      </w:pPr>
      <w:r>
        <w:t xml:space="preserve">Вина – психическое отношение лица к совершенному им общественно опасному деянию, предусмотренному уголовным законом, и его последствиям (психологическая теория вины).</w:t>
      </w:r>
    </w:p>
    <w:p>
      <w:pPr>
        <w:pStyle w:val="BodyText"/>
      </w:pPr>
      <w:r>
        <w:t xml:space="preserve">Вина как обязательный признак оказывает наибольшее влияние на квалификацию.</w:t>
      </w:r>
    </w:p>
    <w:p>
      <w:pPr>
        <w:pStyle w:val="BodyText"/>
      </w:pPr>
      <w:r>
        <w:t xml:space="preserve">Уголовный закон содержит ряд парных составов преступлений, полностью совпадающих по объективным признакам, ответственность за которые дифференцируется в зависимости от того, а какой формой вины совершено деяние (ст. 105 УК РФ – убийство; ст. 109 УК РФ – причинение смерти по неосторожности).</w:t>
      </w:r>
    </w:p>
    <w:p>
      <w:pPr>
        <w:pStyle w:val="BodyText"/>
      </w:pPr>
      <w:r>
        <w:t xml:space="preserve">Чаще всего форма вины указывается в диспозиции, однако есть ряд составов, где нет указания на форму вины. В соответствии с ч. 2 ст. 24 УК РФ деяние, совершенное только по неосторожности, признается преступлением лишь в случаях, когда это специально предусмотре</w:t>
      </w:r>
    </w:p>
    <w:p>
      <w:pPr>
        <w:pStyle w:val="BodyText"/>
      </w:pPr>
      <w:r>
        <w:t xml:space="preserve">Особенной части УК РФ.</w:t>
      </w:r>
    </w:p>
    <w:p>
      <w:pPr>
        <w:pStyle w:val="BodyText"/>
      </w:pPr>
      <w:r>
        <w:t xml:space="preserve">Однако, отсутствие указания на неосторожность в диспозиции еще не означает того, что преступление может быть совершено с любой формой вины =&gt; необходимо обратиться к толкованию закона.</w:t>
      </w:r>
    </w:p>
    <w:p>
      <w:pPr>
        <w:pStyle w:val="BodyText"/>
      </w:pPr>
      <w:r>
        <w:t xml:space="preserve">О возможности совершения преступления лишь с умышленной формой вины свидетельствуют следующие обстоятельства:</w:t>
      </w:r>
    </w:p>
    <w:p>
      <w:pPr>
        <w:pStyle w:val="BodyText"/>
      </w:pPr>
      <w:r>
        <w:t xml:space="preserve">1) состав сформулирован как формальный или усеченный.</w:t>
      </w:r>
    </w:p>
    <w:p>
      <w:pPr>
        <w:pStyle w:val="BodyText"/>
      </w:pPr>
      <w:r>
        <w:t xml:space="preserve">2) содержится указание на цель или мотив совершения преступления.</w:t>
      </w:r>
    </w:p>
    <w:p>
      <w:pPr>
        <w:pStyle w:val="BodyText"/>
      </w:pPr>
      <w:r>
        <w:t xml:space="preserve">3) указание на заведомость действий.</w:t>
      </w:r>
    </w:p>
    <w:p>
      <w:pPr>
        <w:pStyle w:val="BodyText"/>
      </w:pPr>
      <w:r>
        <w:t xml:space="preserve">4) сам характер преступления (изнасилование, дача взятки), способ совершения (обман, злоупотребление доверием), характер используемых терминов (самоуправство, самовольное оставление части).</w:t>
      </w:r>
    </w:p>
    <w:p>
      <w:pPr>
        <w:pStyle w:val="BodyText"/>
      </w:pPr>
      <w:r>
        <w:t xml:space="preserve">5) преступления с двумя формами вины в соответствии со ст. 27 УК РФ в целом признаются умышленными.</w:t>
      </w:r>
    </w:p>
    <w:p>
      <w:pPr>
        <w:pStyle w:val="BodyText"/>
      </w:pPr>
      <w:r>
        <w:t xml:space="preserve">Уголовный закон не содержит никаких оснований для различной квалификации оконченного преступления в зависимости от того, совершено оно с прямым или косвенным умыслом. Вид умысла может оказывать влияние только на квалификацию неоконченных преступлений.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http://zelao.mos.ru/the-rule-of-law/the-prosecutor-explains/detail/10446740.html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467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467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2025-06-27T14:13:58Z</dcterms:created>
  <dcterms:modified xsi:type="dcterms:W3CDTF">2025-06-27T14:13:58Z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