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ошенничество-в-сфере-автострахования"/>
    <w:p>
      <w:pPr>
        <w:pStyle w:val="Heading3"/>
      </w:pPr>
      <w:r>
        <w:t xml:space="preserve">Мошенничество в сфере автострахования</w:t>
      </w:r>
    </w:p>
    <w:p>
      <w:pPr>
        <w:pStyle w:val="FirstParagraph"/>
      </w:pPr>
      <w:r>
        <w:t xml:space="preserve">05.12.2021</w:t>
      </w:r>
    </w:p>
    <w:p>
      <w:pPr>
        <w:pStyle w:val="BodyText"/>
      </w:pPr>
      <w:r>
        <w:t xml:space="preserve">Разъясняет прокурор Зеленоградского административного округа г. Москвы В.А. Родин</w:t>
      </w:r>
    </w:p>
    <w:p>
      <w:pPr>
        <w:pStyle w:val="BodyText"/>
      </w:pPr>
      <w:r>
        <w:t xml:space="preserve">Статья 159.5 Уголовного кодекса РФ предусматривает уголовную ответственность за мошенничество в сфере страхования, то есть хищение чужого имущества путем обмана относительно наступления страхового случая, а равно размера страхового возмещения, подлежащего выплате в соответствии с законом либо договором страхователю или иному лицу.</w:t>
      </w:r>
    </w:p>
    <w:p>
      <w:pPr>
        <w:pStyle w:val="BodyText"/>
      </w:pPr>
      <w:r>
        <w:t xml:space="preserve">Страховая деятельность регламентирована в значительном числе нормативных правовых актов и прежде всего в Законе РФ от 27.11.1992 № 4015-1 «Об организации страхового дела в Российской Федерации». В п. 2 ст. 9 указанного Закона страховой случай определен как совершившееся событие, предусмотренное договором страхования или законом, с наступлением которого возникает обязанность страховщика произвести страховую выплату страхователю, застрахованному лицу, выгодоприобретателю или иным третьим лицам.</w:t>
      </w:r>
    </w:p>
    <w:p>
      <w:pPr>
        <w:pStyle w:val="BodyText"/>
      </w:pPr>
      <w:r>
        <w:t xml:space="preserve">Одним из видов рассматриваемой категории преступлений является мошенничество в сфере автострахования, в результате которого происходит незаконное получение денежных средств в рамках реализации обязательного</w:t>
      </w:r>
    </w:p>
    <w:p>
      <w:pPr>
        <w:pStyle w:val="BodyText"/>
      </w:pPr>
      <w:r>
        <w:t xml:space="preserve">страхования гражданской ответственности владельцев транспортных средств (ОСАГО) или добровольного страхования транспортных средств (КАСКО).</w:t>
      </w:r>
    </w:p>
    <w:p>
      <w:pPr>
        <w:pStyle w:val="BodyText"/>
      </w:pPr>
      <w:r>
        <w:t xml:space="preserve">Наиболее распространенными способами совершения преступления являются инсценировка наступления страхового случая (дорожно-транспортного происшествия, кражи, поджога, причинения повреждений транспортному средству и др.) и фальсификация страхового случая или некоторых его обстоятельств (времени, места, замена водителя или номерных знаков, замена исправных деталей на поврежденные и др.).</w:t>
      </w:r>
    </w:p>
    <w:p>
      <w:pPr>
        <w:pStyle w:val="BodyText"/>
      </w:pPr>
      <w:r>
        <w:t xml:space="preserve">Покушение на мошенничество, предусмотренное ст. 159.5 УК РФ, образует заведомо ложное заявление в правоохранительные органы о совершении преступления, например, о хищении застрахованной автомашины (являющемся страховым случаем), если в дальнейшем преступление не доведено до конца, по независящим от виновного лица обстоятельствам.</w:t>
      </w:r>
    </w:p>
    <w:p>
      <w:pPr>
        <w:pStyle w:val="BodyText"/>
      </w:pPr>
      <w:r>
        <w:t xml:space="preserve">Субъектом преступления является любое вменяемое лицо, достигшее 16-летнего возраста.</w:t>
      </w:r>
    </w:p>
    <w:p>
      <w:pPr>
        <w:pStyle w:val="BodyText"/>
      </w:pPr>
      <w:r>
        <w:t xml:space="preserve">Наказание за совершение мошенничества в сфере автострахования зависит от тяжести совершенного деяния, в том числе от размера причиненного ущерба. Например, в случае совершения данного вида мошенничества в крупном размере, то есть при стоимости похищенного более 250 тыс. рублей, возможно назначение наказания в лишения свободы на срок до 6 лет со штрафом в размере до 800 тыс. рублей (ч.3 ст.159.5 УК РФ). А за аналогичное преступление в особо крупном размере, то есть при стоимости похищенного более 1 млн. рублей, лишение свободы может быть назначено на срок до 10 лет со штрафом в размере до 1 млн. рублей (ч.4 ст.159.5 УК РФ).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http://zelao.mos.ru/the-rule-of-law/the-prosecutor-explains/detail/10446751.html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4467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4467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2025-07-31T19:17:03Z</dcterms:created>
  <dcterms:modified xsi:type="dcterms:W3CDTF">2025-07-31T19:17:03Z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