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be3382e634115ba51c6cc8bf43c3edbe0ac33"/>
    <w:p>
      <w:pPr>
        <w:pStyle w:val="Heading3"/>
      </w:pPr>
      <w:r>
        <w:t xml:space="preserve">Правила поведении при работе с банковской картой. Участились случаи мошенничества.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1. Исключите передачу ПИН-кода и CVV-кода посторонним лицам, в противном случае любые операции, совершенные с их использованием будут считаться выполненными держателем карты и не могут быть опротестованы.</w:t>
      </w:r>
    </w:p>
    <w:p>
      <w:pPr>
        <w:pStyle w:val="BodyText"/>
      </w:pPr>
      <w:r>
        <w:t xml:space="preserve">2. Пользуйтесь банкоматом, установленным в защищенном месте, например, в государственном учреждении, офисе банка, крупном торговом центре.</w:t>
      </w:r>
    </w:p>
    <w:p>
      <w:pPr>
        <w:pStyle w:val="BodyText"/>
      </w:pPr>
      <w:r>
        <w:t xml:space="preserve">Перед использованием осмотрите банкомат и убедитесь, что все операции, совершаемые предыдущим клиентом, завершены; на клавиатуре и в месте приема карт нет дополнительных устройств; обращайте внимание на неисправности и повреждения.</w:t>
      </w:r>
    </w:p>
    <w:p>
      <w:pPr>
        <w:pStyle w:val="BodyText"/>
      </w:pPr>
      <w:r>
        <w:t xml:space="preserve">3. Совершая операции, не прислушивайтесь к советам незнакомцев и не принимайте их помощь. При необходимости обратитесь за помощью к сотруднику банка.</w:t>
      </w:r>
    </w:p>
    <w:p>
      <w:pPr>
        <w:pStyle w:val="BodyText"/>
      </w:pPr>
      <w:r>
        <w:t xml:space="preserve">4. При оплате услуг картой в сети «Интернет» учитывайте высокую степень вероятности перехода на поддельный сайт, созданный мошенниками для компрометации клиентских данных, включая платежные карточные данные.</w:t>
      </w:r>
    </w:p>
    <w:p>
      <w:pPr>
        <w:pStyle w:val="BodyText"/>
      </w:pPr>
      <w:r>
        <w:t xml:space="preserve">Пользуйтесь только проверенными сайтами.</w:t>
      </w:r>
    </w:p>
    <w:p>
      <w:pPr>
        <w:pStyle w:val="BodyText"/>
      </w:pPr>
      <w:r>
        <w:t xml:space="preserve">Внимательно прочитывайте тексты СМС-сообщений с кодами подтверждений. Проверяйте реквизиты операции.</w:t>
      </w:r>
    </w:p>
    <w:p>
      <w:pPr>
        <w:pStyle w:val="BodyText"/>
      </w:pPr>
      <w:r>
        <w:t xml:space="preserve">5. Чтобы минимизировать возможность хищения денег, при проведении операций в сети «Интернет» оформите виртуальную карту с установленным размером индивидуального лимита, ограничивающего операции для данного вида карты, в том числе с использованием других банковских карт на имя держателя карты.</w:t>
      </w:r>
    </w:p>
    <w:p>
      <w:pPr>
        <w:pStyle w:val="BodyText"/>
      </w:pPr>
      <w:r>
        <w:t xml:space="preserve">6. В случае смены номера мобильного телефона или его утраты свяжитесь с банком для отключения и блокировки доступа к СМС-банку и заблокируйте сим-карту, обратившись к сотовому оператору.</w:t>
      </w:r>
    </w:p>
    <w:p>
      <w:pPr>
        <w:pStyle w:val="BodyText"/>
      </w:pPr>
      <w:r>
        <w:t xml:space="preserve">7. При возникновении малейших подозрений в угрозе списания денег со счета мошенниками незамедлительно обратитесь в банк по указанному на обратной стороне банковской карты номеру.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2025-05-01T04:58:19Z</dcterms:created>
  <dcterms:modified xsi:type="dcterms:W3CDTF">2025-05-01T04:58:19Z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