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98d96eb5aed420016deb4fb9046d8b4af8ba8"/>
    <w:p>
      <w:pPr>
        <w:pStyle w:val="Heading3"/>
      </w:pPr>
      <w:r>
        <w:t xml:space="preserve">Стоимость утраченной в ходе проверки продукции возместят из бюджета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 14.09.2021 вступили в законную силу Правила возмещения контролируемому лицу стоимости утраченной продукции (товаров) в ходе выездной проверки, утвержденные постановлением Правительства РФ от 03.08.2021 № 1299.</w:t>
      </w:r>
    </w:p>
    <w:p>
      <w:pPr>
        <w:pStyle w:val="BodyText"/>
      </w:pPr>
      <w:r>
        <w:t xml:space="preserve">Возмещению подлежит стоимость утраченной продукции (товаров), изъятой контрольным органом при проведении отбора проб (образцов) продукции (товаров) в ходе выездной проверки, если не выявлены нарушения обязательных требований к безопасности и (или) качеству продукции (товаров), влекущие риски причинения вреда (ущерба) охраняемым законом ценностям, а продукция (товары) не подлежит (не подлежат) возврату вследствие утраты потребительских свойств либо в соответствии с требованиями, установленными правилами продажи отдельных видов продукции (товаров).</w:t>
      </w:r>
    </w:p>
    <w:p>
      <w:pPr>
        <w:pStyle w:val="BodyText"/>
      </w:pPr>
      <w:r>
        <w:t xml:space="preserve">Данное правило не касается случаев проведения выездной проверки при осуществлении контроля и надзора в сфере обращения лекарственных средств, медицинских изделий, донорской крови, ее компонентов и биомедицинских клеточных продуктов.</w:t>
      </w:r>
    </w:p>
    <w:p>
      <w:pPr>
        <w:pStyle w:val="BodyText"/>
      </w:pPr>
      <w:r>
        <w:t xml:space="preserve">Возмещение будет производиться за счет средств соответствующего бюджета бюджетной системы Российской Федерации в случае, если стоимость утраченной продукции составляет не менее 10 тыс.руб.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2025-02-20T05:29:42Z</dcterms:created>
  <dcterms:modified xsi:type="dcterms:W3CDTF">2025-02-20T05:29:42Z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