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7cccb200dce29ebb48e40958a06cbb445f3af"/>
    <w:p>
      <w:pPr>
        <w:pStyle w:val="Heading3"/>
      </w:pPr>
      <w:r>
        <w:t xml:space="preserve">С 1 января 2021 года устанавливаются требования к качеству звука и (или) изображения обязательных общедоступных телеканалов и (или) радиоканалов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Приказом Минкомсвязи России от 31.07.2020 № 369 определены требования к качеству звука и (или) изображения обязательных общедоступных телеканалов и (или) радиоканалов.</w:t>
      </w:r>
    </w:p>
    <w:p>
      <w:pPr>
        <w:pStyle w:val="BodyText"/>
      </w:pPr>
      <w:r>
        <w:t xml:space="preserve">Оператор связи обязан обеспечить трансляцию и пропуск сигналов обязательных общедоступных телеканалов и (или) радиоканалов в цифровом формате с постоянной неизменяемой скоростью программного потока MPEG-4 не менее 3,0 Мбит/с, из них постоянная скорость видео не менее 2720 Кбит/с, постоянная скорость аудио не менее 192 Кбит/с.</w:t>
      </w:r>
    </w:p>
    <w:p>
      <w:pPr>
        <w:pStyle w:val="BodyText"/>
      </w:pPr>
      <w:r>
        <w:t xml:space="preserve">При осуществлении трансляции сигналов обязательных общедоступных телеканалов и (или) радиоканалов операторы связи не вправе удалять, изменять скрытые субтитры, информацию службы "телетекст", а также информацию электронного гида программ (кроме случаев трансляции сигнала в аналоговом формате), экстренную информацию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 (при наличии в составе сигналов указанных видов информации).</w:t>
      </w:r>
    </w:p>
    <w:p>
      <w:pPr>
        <w:pStyle w:val="BodyText"/>
      </w:pPr>
      <w:r>
        <w:t xml:space="preserve">Приказ вступает в силу с 1 января 2021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http://zelao.mos.ru/the-rule-of-law/the-prosecutor-explains/detail/9489466.html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2025-06-18T02:28:54Z</dcterms:created>
  <dcterms:modified xsi:type="dcterms:W3CDTF">2025-06-18T02:28:54Z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