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94f59f805bb85420d35a0cdcbf00111fc68e43"/>
    <w:p>
      <w:pPr>
        <w:pStyle w:val="Heading3"/>
      </w:pPr>
      <w:r>
        <w:t xml:space="preserve">Ответственность несовершеннолетних за участие в митингах</w:t>
      </w:r>
    </w:p>
    <w:p>
      <w:pPr>
        <w:pStyle w:val="FirstParagraph"/>
      </w:pPr>
      <w:r>
        <w:t xml:space="preserve">15.02.2021</w:t>
      </w:r>
    </w:p>
    <w:p>
      <w:pPr>
        <w:pStyle w:val="BodyText"/>
      </w:pPr>
      <w:r>
        <w:t xml:space="preserve">Разъясняет прокурор Зеленоградского административного округа В.А. Родин</w:t>
      </w:r>
    </w:p>
    <w:p>
      <w:pPr>
        <w:pStyle w:val="BodyText"/>
      </w:pPr>
      <w:r>
        <w:t xml:space="preserve">Нововведения в статью 213 Уголовного кодекса Российской Федерации, предусматривающую ответственность за хулиганство.</w:t>
      </w:r>
    </w:p>
    <w:p>
      <w:pPr>
        <w:pStyle w:val="BodyText"/>
      </w:pPr>
      <w:r>
        <w:t xml:space="preserve">Федеральным законом № 543-ФЗ от 30.12.2020 внесены изменения в ст.213 УК РФ (хулиганство, то есть грубое нарушение общественного порядка, выражающее явное неуважение к обществу).</w:t>
      </w:r>
    </w:p>
    <w:p>
      <w:pPr>
        <w:pStyle w:val="BodyText"/>
      </w:pPr>
      <w:r>
        <w:t xml:space="preserve">Пункт «а» части 1 указанной статьи изложен в новой редакции - «с применением насилия к гражданам или угрозой его применения».</w:t>
      </w:r>
    </w:p>
    <w:p>
      <w:pPr>
        <w:pStyle w:val="BodyText"/>
      </w:pPr>
      <w:r>
        <w:t xml:space="preserve">Таким образом, законодатель определил новый квалифицирующий признак названного преступного деяния.</w:t>
      </w:r>
    </w:p>
    <w:p>
      <w:pPr>
        <w:pStyle w:val="BodyText"/>
      </w:pPr>
      <w:r>
        <w:t xml:space="preserve">По части 1 наказание за хулиганство может быть определено судом до 2 лет лишения свободы.</w:t>
      </w:r>
    </w:p>
    <w:p>
      <w:pPr>
        <w:pStyle w:val="BodyText"/>
      </w:pPr>
      <w:r>
        <w:t xml:space="preserve">Кроме того, усилена ответственность за совершение хулиганства с применением оружия.</w:t>
      </w:r>
    </w:p>
    <w:p>
      <w:pPr>
        <w:pStyle w:val="BodyText"/>
      </w:pPr>
      <w:r>
        <w:t xml:space="preserve">Абзац первый части 2 также изложен в новой редакции.</w:t>
      </w:r>
    </w:p>
    <w:p>
      <w:pPr>
        <w:pStyle w:val="BodyText"/>
      </w:pPr>
      <w:r>
        <w:t xml:space="preserve">«2. То же деяние, совершённое с применением оружия или предметов, используемых в качестве оружия, либо группой лиц, группой лиц по предварительному сговору или организованной группой либо связанное с сопротивлением представителю власти либо иному лицу, исполняющему обязанности по охране общественного порядка или пресекающему нарушение общественного порядка».</w:t>
      </w:r>
    </w:p>
    <w:p>
      <w:pPr>
        <w:pStyle w:val="BodyText"/>
      </w:pPr>
      <w:r>
        <w:t xml:space="preserve">Ранее, квалифицированный признак «с применением оружия или предметов, используемых в качестве оружия» содержался в пункте «а» части 1 ст.213 УК РФ.</w:t>
      </w:r>
    </w:p>
    <w:p>
      <w:pPr>
        <w:pStyle w:val="BodyText"/>
      </w:pPr>
      <w:r>
        <w:t xml:space="preserve">По второй части названной статьи человек, признанный судом виновным в совершении хулиганства, может быть лишен свободы на срок до 7 лет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http://zelao.mos.ru/the-rule-of-law/the-prosecutor-explains/detail/9715327.html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7153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7153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2025-02-24T00:46:56Z</dcterms:created>
  <dcterms:modified xsi:type="dcterms:W3CDTF">2025-02-24T00:46:56Z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